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ADD" w:rsidRDefault="00565ADD" w:rsidP="00565ADD">
      <w:r>
        <w:t>С помощью метода отслеживания движения пятна (</w:t>
      </w:r>
      <w:proofErr w:type="spellStart"/>
      <w:r>
        <w:t>Speckle</w:t>
      </w:r>
      <w:proofErr w:type="spellEnd"/>
      <w:r>
        <w:t xml:space="preserve"> </w:t>
      </w:r>
      <w:proofErr w:type="spellStart"/>
      <w:r>
        <w:t>Tracking</w:t>
      </w:r>
      <w:proofErr w:type="spellEnd"/>
      <w:r>
        <w:t xml:space="preserve"> </w:t>
      </w:r>
      <w:proofErr w:type="spellStart"/>
      <w:r>
        <w:t>Echocardiography</w:t>
      </w:r>
      <w:proofErr w:type="spellEnd"/>
      <w:r>
        <w:t>, STE) оценивается деформация миокарда (</w:t>
      </w:r>
      <w:proofErr w:type="spellStart"/>
      <w:r>
        <w:t>strain</w:t>
      </w:r>
      <w:proofErr w:type="spellEnd"/>
      <w:r>
        <w:t>)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 xml:space="preserve">степень изменения толщины или длины участка сердца от конечной диастолической до конечной систолической величины. Проанализированы 43 научные публикации, текст и библиография которых доступны в поисковой системе </w:t>
      </w:r>
      <w:r>
        <w:rPr>
          <w:lang w:val="en-US"/>
        </w:rPr>
        <w:t>PubMed</w:t>
      </w:r>
      <w:r>
        <w:t xml:space="preserve"> за период 2001–2019 гг.</w:t>
      </w:r>
    </w:p>
    <w:p w:rsidR="00565ADD" w:rsidRDefault="00565ADD" w:rsidP="00565ADD">
      <w:r>
        <w:t xml:space="preserve">Межжелудочковая </w:t>
      </w:r>
      <w:proofErr w:type="spellStart"/>
      <w:r>
        <w:t>диссинхрония</w:t>
      </w:r>
      <w:proofErr w:type="spellEnd"/>
      <w:r>
        <w:t xml:space="preserve"> чаще отмечается у пациентов с нарушением проведения электрического импульса при блокаде левой ножки пучка Гиса. Ранняя </w:t>
      </w:r>
      <w:proofErr w:type="spellStart"/>
      <w:r>
        <w:t>транссептальная</w:t>
      </w:r>
      <w:proofErr w:type="spellEnd"/>
      <w:r>
        <w:t xml:space="preserve"> активация сопровождается изменением градиента давления и возникновением </w:t>
      </w:r>
      <w:proofErr w:type="spellStart"/>
      <w:r>
        <w:t>септального</w:t>
      </w:r>
      <w:proofErr w:type="spellEnd"/>
      <w:r>
        <w:t xml:space="preserve"> </w:t>
      </w:r>
      <w:proofErr w:type="spellStart"/>
      <w:r>
        <w:t>флеша</w:t>
      </w:r>
      <w:proofErr w:type="spellEnd"/>
      <w:r>
        <w:t xml:space="preserve"> (</w:t>
      </w:r>
      <w:r>
        <w:rPr>
          <w:lang w:val="en-US"/>
        </w:rPr>
        <w:t>SF</w:t>
      </w:r>
      <w:r>
        <w:t>)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 xml:space="preserve">аномального </w:t>
      </w:r>
      <w:proofErr w:type="spellStart"/>
      <w:r>
        <w:t>пресистолического</w:t>
      </w:r>
      <w:proofErr w:type="spellEnd"/>
      <w:r>
        <w:t xml:space="preserve"> сокращения базальных отделов межжелудочковой перегородки до сочетанного движения стенок левого желудочка (ЛЖ). Идентификация SF возможна при оценке всех видов деформации: продольной, радиальной, циркулярной.</w:t>
      </w:r>
    </w:p>
    <w:p w:rsidR="00565ADD" w:rsidRDefault="00565ADD" w:rsidP="00565ADD">
      <w:proofErr w:type="spellStart"/>
      <w:r>
        <w:t>Внутрижелудочковая</w:t>
      </w:r>
      <w:proofErr w:type="spellEnd"/>
      <w:r>
        <w:t xml:space="preserve"> </w:t>
      </w:r>
      <w:proofErr w:type="spellStart"/>
      <w:r>
        <w:t>диссинхрония</w:t>
      </w:r>
      <w:proofErr w:type="spellEnd"/>
      <w:r>
        <w:t xml:space="preserve"> образуется из-за </w:t>
      </w:r>
      <w:bookmarkStart w:id="0" w:name="_GoBack"/>
      <w:bookmarkEnd w:id="0"/>
      <w:r>
        <w:t>изменения последовательности возбуждения сегментов миокарда ЛЖ. Наиболее часто используется индекс задержек деформации (</w:t>
      </w:r>
      <w:r>
        <w:rPr>
          <w:lang w:val="en-US"/>
        </w:rPr>
        <w:t>S</w:t>
      </w:r>
      <w:proofErr w:type="spellStart"/>
      <w:r>
        <w:t>train</w:t>
      </w:r>
      <w:proofErr w:type="spellEnd"/>
      <w:r>
        <w:t xml:space="preserve"> </w:t>
      </w:r>
      <w:r>
        <w:rPr>
          <w:lang w:val="en-US"/>
        </w:rPr>
        <w:t>D</w:t>
      </w:r>
      <w:proofErr w:type="spellStart"/>
      <w:r>
        <w:t>elay</w:t>
      </w:r>
      <w:proofErr w:type="spellEnd"/>
      <w:r>
        <w:t xml:space="preserve"> </w:t>
      </w:r>
      <w:r>
        <w:rPr>
          <w:lang w:val="en-US"/>
        </w:rPr>
        <w:t>I</w:t>
      </w:r>
      <w:proofErr w:type="spellStart"/>
      <w:r>
        <w:t>ndex</w:t>
      </w:r>
      <w:proofErr w:type="spellEnd"/>
      <w:r>
        <w:t>), рассчитывающийся как отношение задержек пиков деформации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 xml:space="preserve">конечной систолической и максимальной. Также заслуживает внимания продольный индекс </w:t>
      </w:r>
      <w:proofErr w:type="spellStart"/>
      <w:r>
        <w:t>диссинхронии</w:t>
      </w:r>
      <w:proofErr w:type="spellEnd"/>
      <w:r>
        <w:t xml:space="preserve"> (</w:t>
      </w:r>
      <w:proofErr w:type="spellStart"/>
      <w:r>
        <w:t>Longitudinal</w:t>
      </w:r>
      <w:proofErr w:type="spellEnd"/>
      <w:r>
        <w:t xml:space="preserve"> </w:t>
      </w:r>
      <w:proofErr w:type="spellStart"/>
      <w:r>
        <w:rPr>
          <w:lang w:val="en-US"/>
        </w:rPr>
        <w:t>Dyssynchrony</w:t>
      </w:r>
      <w:proofErr w:type="spellEnd"/>
      <w:r>
        <w:t xml:space="preserve"> </w:t>
      </w:r>
      <w:r>
        <w:rPr>
          <w:lang w:val="en-US"/>
        </w:rPr>
        <w:t>Index</w:t>
      </w:r>
      <w:r>
        <w:t>). Для этого определяется максимальный интервал между пиками деформации 12-ти сегментов миокарда.</w:t>
      </w:r>
    </w:p>
    <w:p w:rsidR="00565ADD" w:rsidRDefault="00565ADD" w:rsidP="00565ADD">
      <w:r w:rsidRPr="00565ADD">
        <w:rPr>
          <w:rStyle w:val="Bold"/>
        </w:rPr>
        <w:t>Ключевые слова:</w:t>
      </w:r>
      <w:r>
        <w:rPr>
          <w:rStyle w:val="Bold"/>
          <w:i/>
          <w:iCs/>
        </w:rPr>
        <w:t xml:space="preserve"> </w:t>
      </w:r>
      <w:r>
        <w:t xml:space="preserve">метод отслеживания движения пятна, механическая </w:t>
      </w:r>
      <w:proofErr w:type="spellStart"/>
      <w:r>
        <w:t>диссинхрония</w:t>
      </w:r>
      <w:proofErr w:type="spellEnd"/>
      <w:r>
        <w:t xml:space="preserve">, сердечная </w:t>
      </w:r>
      <w:proofErr w:type="spellStart"/>
      <w:r>
        <w:t>ресинхронизирующая</w:t>
      </w:r>
      <w:proofErr w:type="spellEnd"/>
      <w:r>
        <w:t xml:space="preserve"> терапия, хроническая сердечная недостаточность.</w:t>
      </w:r>
    </w:p>
    <w:p w:rsidR="00AF5111" w:rsidRDefault="00AF5111" w:rsidP="00565ADD"/>
    <w:sectPr w:rsidR="00AF5111" w:rsidSect="009B601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DD"/>
    <w:rsid w:val="00565ADD"/>
    <w:rsid w:val="00A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86E2EE-F68C-4B89-A048-144A7778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565ADD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565ADD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2020-02-06T15:15:00Z</dcterms:created>
  <dcterms:modified xsi:type="dcterms:W3CDTF">2020-02-06T15:17:00Z</dcterms:modified>
</cp:coreProperties>
</file>